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8B5" w:rsidRDefault="00F638B5" w:rsidP="00F638B5">
      <w:pPr>
        <w:pStyle w:val="artartustawynprozporzdzenia"/>
        <w:rPr>
          <w:rStyle w:val="ppogrubienie"/>
          <w:rFonts w:ascii="Arial" w:hAnsi="Arial" w:cs="Arial"/>
          <w:sz w:val="18"/>
          <w:szCs w:val="18"/>
        </w:rPr>
      </w:pPr>
    </w:p>
    <w:p w:rsidR="00F638B5" w:rsidRDefault="00F638B5" w:rsidP="00F638B5">
      <w:pPr>
        <w:pStyle w:val="artartustawynprozporzdzenia"/>
        <w:rPr>
          <w:rStyle w:val="ppogrubienie"/>
          <w:rFonts w:ascii="Arial" w:hAnsi="Arial" w:cs="Arial"/>
          <w:b/>
          <w:sz w:val="18"/>
          <w:szCs w:val="18"/>
        </w:rPr>
      </w:pPr>
    </w:p>
    <w:p w:rsidR="00F638B5" w:rsidRDefault="00F638B5" w:rsidP="00F638B5">
      <w:pPr>
        <w:pStyle w:val="artartustawynprozporzdzenia"/>
        <w:jc w:val="center"/>
        <w:rPr>
          <w:rStyle w:val="ppogrubienie"/>
          <w:b/>
        </w:rPr>
      </w:pPr>
      <w:r>
        <w:rPr>
          <w:rStyle w:val="ppogrubienie"/>
          <w:b/>
        </w:rPr>
        <w:t>UWAGA WYBORCY!</w:t>
      </w:r>
    </w:p>
    <w:p w:rsidR="00F638B5" w:rsidRDefault="00F638B5" w:rsidP="00F638B5">
      <w:pPr>
        <w:pStyle w:val="artartustawynprozporzdzenia"/>
        <w:spacing w:line="276" w:lineRule="auto"/>
        <w:jc w:val="both"/>
        <w:rPr>
          <w:rStyle w:val="ppogrubienie"/>
        </w:rPr>
      </w:pPr>
    </w:p>
    <w:p w:rsidR="00F638B5" w:rsidRDefault="00F638B5" w:rsidP="00F638B5">
      <w:pPr>
        <w:pStyle w:val="oznrodzaktutznustawalubrozporzdzenieiorganwydajcy"/>
        <w:spacing w:line="276" w:lineRule="auto"/>
        <w:jc w:val="both"/>
      </w:pPr>
      <w:r>
        <w:rPr>
          <w:rStyle w:val="ppogrubienie"/>
        </w:rPr>
        <w:t xml:space="preserve">Zgodnie z art. 102 </w:t>
      </w:r>
      <w:r>
        <w:t>ustawy z dnia 16 kwietnia 2020 r. o szczególnych instrumentach wsparcia w związku z rozprzestrzenianiem się wirusa SARS-CoV-2</w:t>
      </w:r>
      <w:bookmarkStart w:id="0" w:name="_ftnref1"/>
      <w:bookmarkEnd w:id="0"/>
      <w:r>
        <w:t xml:space="preserve"> w okresie obowiązywania stanu zagrożenia epidemicznego albo stanu epidemii przy przeprowadzaniu wyborów powszechnych na Prezydenta Rzeczypospolitej Polskiej zarządzonych w 2020 r. nie stosuje się przepisów ustawy z dnia 5 stycznia 2011 r. – Kodeks wyborczy (Dz. U. z 2019 r. poz. 684 i 1504 oraz z 2020 r. poz. 568) w zakresie:</w:t>
      </w:r>
    </w:p>
    <w:p w:rsidR="00F638B5" w:rsidRDefault="00F638B5" w:rsidP="00F638B5">
      <w:pPr>
        <w:pStyle w:val="pktpunkt"/>
        <w:jc w:val="both"/>
      </w:pPr>
      <w:r>
        <w:t>1)     podawania w formie obwieszczenia do wiadomości wyborców informacji, o których mowa w art. 16 § 1;</w:t>
      </w:r>
    </w:p>
    <w:p w:rsidR="00F638B5" w:rsidRDefault="00F638B5" w:rsidP="00F638B5">
      <w:pPr>
        <w:pStyle w:val="pktpunkt"/>
        <w:jc w:val="both"/>
      </w:pPr>
      <w:r>
        <w:t>2)     wydawania zaświadczeń o prawie do głosowania;</w:t>
      </w:r>
    </w:p>
    <w:p w:rsidR="00F638B5" w:rsidRDefault="00F638B5" w:rsidP="00F638B5">
      <w:pPr>
        <w:pStyle w:val="pktpunkt"/>
        <w:jc w:val="both"/>
      </w:pPr>
      <w:r>
        <w:t xml:space="preserve">3)     przekazywania wyborcom informacji, o których mowa w art. 37d § 1; </w:t>
      </w:r>
    </w:p>
    <w:p w:rsidR="00F638B5" w:rsidRDefault="00F638B5" w:rsidP="00F638B5">
      <w:pPr>
        <w:pStyle w:val="pktpunkt"/>
        <w:jc w:val="both"/>
      </w:pPr>
      <w:r>
        <w:t>4)     głosowania korespondencyjnego, o którym mowa w art. 53a;</w:t>
      </w:r>
    </w:p>
    <w:p w:rsidR="00F638B5" w:rsidRDefault="00F638B5" w:rsidP="00F638B5">
      <w:pPr>
        <w:pStyle w:val="pktpunkt"/>
        <w:jc w:val="both"/>
      </w:pPr>
      <w:r>
        <w:t>5)     głosowania przez pełnomocnika;</w:t>
      </w:r>
    </w:p>
    <w:p w:rsidR="00F638B5" w:rsidRDefault="00F638B5" w:rsidP="00F638B5">
      <w:pPr>
        <w:pStyle w:val="pktpunkt"/>
        <w:jc w:val="both"/>
      </w:pPr>
      <w:r>
        <w:t>6)     ustalania przez Państwową Komisję Wyborczą wzoru karty do głosowania i zarządzania przez nią druku tych kart.</w:t>
      </w:r>
    </w:p>
    <w:p w:rsidR="00F638B5" w:rsidRDefault="00F638B5" w:rsidP="00F638B5">
      <w:pPr>
        <w:pStyle w:val="pktpunkt"/>
        <w:jc w:val="both"/>
      </w:pPr>
    </w:p>
    <w:p w:rsidR="00F638B5" w:rsidRDefault="00F638B5" w:rsidP="00F638B5">
      <w:pPr>
        <w:pStyle w:val="pktpunkt"/>
        <w:jc w:val="both"/>
      </w:pPr>
      <w:r>
        <w:t>Wydane i sporządzone zaświadczenia o prawie glosowania oraz akty pełnomocnictwa wygasły  z mocy prawa.</w:t>
      </w:r>
    </w:p>
    <w:p w:rsidR="00F638B5" w:rsidRDefault="00F638B5" w:rsidP="00F638B5">
      <w:pPr>
        <w:pStyle w:val="pktpunkt"/>
        <w:jc w:val="both"/>
      </w:pPr>
      <w:r>
        <w:t>Osoby, którym wydano zaświadczenia o prawie do głosowania muszą zostać ujęte w spisie wyborców tak, jakby zaświadczenie nie zostało wydane.</w:t>
      </w:r>
    </w:p>
    <w:p w:rsidR="00F638B5" w:rsidRDefault="00F638B5" w:rsidP="00F638B5">
      <w:pPr>
        <w:pStyle w:val="pktpunkt"/>
      </w:pPr>
    </w:p>
    <w:p w:rsidR="00F638B5" w:rsidRDefault="00F638B5" w:rsidP="00F638B5">
      <w:pPr>
        <w:pStyle w:val="pktpunkt"/>
      </w:pPr>
      <w:r>
        <w:t xml:space="preserve">                                                                                                      Wójt</w:t>
      </w:r>
    </w:p>
    <w:p w:rsidR="00F638B5" w:rsidRDefault="00F638B5" w:rsidP="00F638B5">
      <w:pPr>
        <w:pStyle w:val="pktpunkt"/>
      </w:pPr>
      <w:r>
        <w:t xml:space="preserve">                                                                                          Sławomir Zalewski</w:t>
      </w:r>
    </w:p>
    <w:p w:rsidR="00F638B5" w:rsidRDefault="00F638B5" w:rsidP="00F638B5">
      <w:pPr>
        <w:rPr>
          <w:rFonts w:ascii="Times New Roman" w:hAnsi="Times New Roman" w:cs="Times New Roman"/>
          <w:sz w:val="24"/>
          <w:szCs w:val="24"/>
        </w:rPr>
      </w:pPr>
    </w:p>
    <w:p w:rsidR="0011134F" w:rsidRDefault="0011134F"/>
    <w:sectPr w:rsidR="0011134F" w:rsidSect="001113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638B5"/>
    <w:rsid w:val="0011134F"/>
    <w:rsid w:val="00F63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38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rtartustawynprozporzdzenia">
    <w:name w:val="artartustawynprozporzdzenia"/>
    <w:basedOn w:val="Normalny"/>
    <w:rsid w:val="00F638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punkt">
    <w:name w:val="pktpunkt"/>
    <w:basedOn w:val="Normalny"/>
    <w:rsid w:val="00F638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oznrodzaktutznustawalubrozporzdzenieiorganwydajcy">
    <w:name w:val="oznrodzaktutznustawalubrozporzdzenieiorganwydajcy"/>
    <w:basedOn w:val="Normalny"/>
    <w:rsid w:val="00F638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pogrubienie">
    <w:name w:val="ppogrubienie"/>
    <w:basedOn w:val="Domylnaczcionkaakapitu"/>
    <w:rsid w:val="00F638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60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1204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Jeglikowska</dc:creator>
  <cp:lastModifiedBy>Jeglikowska</cp:lastModifiedBy>
  <cp:revision>2</cp:revision>
  <dcterms:created xsi:type="dcterms:W3CDTF">2020-04-23T10:13:00Z</dcterms:created>
  <dcterms:modified xsi:type="dcterms:W3CDTF">2020-04-23T10:14:00Z</dcterms:modified>
</cp:coreProperties>
</file>